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1D1ED89A" w:rsidTr="1D1ED89A" w14:paraId="074BC46D">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1D1ED89A" w:rsidP="1D1ED89A" w:rsidRDefault="1D1ED89A" w14:paraId="54F995C9" w14:textId="4C4ED301">
            <w:pPr>
              <w:widowControl w:val="0"/>
              <w:spacing w:line="360" w:lineRule="auto"/>
              <w:rPr>
                <w:rFonts w:ascii="Arial" w:hAnsi="Arial" w:eastAsia="Arial" w:cs="Arial"/>
                <w:b w:val="0"/>
                <w:bCs w:val="0"/>
                <w:i w:val="0"/>
                <w:iCs w:val="0"/>
                <w:color w:val="666666"/>
                <w:sz w:val="18"/>
                <w:szCs w:val="18"/>
              </w:rPr>
            </w:pPr>
          </w:p>
          <w:p w:rsidR="1D1ED89A" w:rsidP="1D1ED89A" w:rsidRDefault="1D1ED89A" w14:paraId="36F3BC4A" w14:textId="607E3531">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1D1ED89A" w:rsidP="1D1ED89A" w:rsidRDefault="1D1ED89A" w14:paraId="3CBD5E96" w14:textId="41DABE98">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1D1ED89A" wp14:paraId="061C3F63" wp14:textId="497042B0">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1D1ED89A" w:rsidTr="51F5C03E" w14:paraId="78827AED">
        <w:trPr>
          <w:trHeight w:val="615"/>
        </w:trPr>
        <w:tc>
          <w:tcPr>
            <w:tcW w:w="450" w:type="dxa"/>
            <w:tcBorders>
              <w:top w:val="nil"/>
              <w:left w:val="nil"/>
              <w:bottom w:val="nil"/>
              <w:right w:val="nil"/>
            </w:tcBorders>
            <w:tcMar>
              <w:top w:w="90" w:type="dxa"/>
              <w:left w:w="90" w:type="dxa"/>
              <w:bottom w:w="90" w:type="dxa"/>
              <w:right w:w="90" w:type="dxa"/>
            </w:tcMar>
            <w:vAlign w:val="top"/>
          </w:tcPr>
          <w:p w:rsidR="1D1ED89A" w:rsidP="1D1ED89A" w:rsidRDefault="1D1ED89A" w14:paraId="3DEE5A65" w14:textId="0AB30CE6">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1D1ED89A" w:rsidP="1D1ED89A" w:rsidRDefault="1D1ED89A" w14:paraId="4246764D" w14:textId="327E37DB">
            <w:pPr>
              <w:spacing w:line="279" w:lineRule="auto"/>
              <w:jc w:val="center"/>
              <w:rPr>
                <w:rFonts w:ascii="Arial" w:hAnsi="Arial" w:eastAsia="Arial" w:cs="Arial"/>
                <w:b w:val="0"/>
                <w:bCs w:val="0"/>
                <w:i w:val="0"/>
                <w:iCs w:val="0"/>
                <w:color w:val="242424"/>
                <w:sz w:val="24"/>
                <w:szCs w:val="24"/>
              </w:rPr>
            </w:pPr>
          </w:p>
          <w:p w:rsidR="1D1ED89A" w:rsidP="51F5C03E" w:rsidRDefault="1D1ED89A" w14:paraId="03D87DC7" w14:textId="5742F94C">
            <w:pPr>
              <w:spacing w:line="279" w:lineRule="auto"/>
              <w:jc w:val="center"/>
              <w:rPr>
                <w:rFonts w:ascii="Arial Nova" w:hAnsi="Arial Nova" w:eastAsia="Arial Nova" w:cs="Arial Nova"/>
                <w:b w:val="1"/>
                <w:bCs w:val="1"/>
                <w:i w:val="0"/>
                <w:iCs w:val="0"/>
                <w:sz w:val="24"/>
                <w:szCs w:val="24"/>
                <w:lang w:val="es-ES"/>
              </w:rPr>
            </w:pPr>
            <w:r w:rsidRPr="51F5C03E" w:rsidR="674312E0">
              <w:rPr>
                <w:rFonts w:ascii="Arial Nova" w:hAnsi="Arial Nova" w:eastAsia="Arial Nova" w:cs="Arial Nova"/>
                <w:b w:val="1"/>
                <w:bCs w:val="1"/>
                <w:i w:val="0"/>
                <w:iCs w:val="0"/>
                <w:sz w:val="24"/>
                <w:szCs w:val="24"/>
                <w:lang w:val="es-ES"/>
              </w:rPr>
              <w:t>Chire</w:t>
            </w:r>
            <w:r w:rsidRPr="51F5C03E" w:rsidR="7DC8A776">
              <w:rPr>
                <w:rFonts w:ascii="Arial Nova" w:hAnsi="Arial Nova" w:eastAsia="Arial Nova" w:cs="Arial Nova"/>
                <w:b w:val="1"/>
                <w:bCs w:val="1"/>
                <w:i w:val="0"/>
                <w:iCs w:val="0"/>
                <w:sz w:val="24"/>
                <w:szCs w:val="24"/>
                <w:lang w:val="es-ES"/>
              </w:rPr>
              <w:t>y</w:t>
            </w:r>
            <w:r w:rsidRPr="51F5C03E" w:rsidR="7DC8A776">
              <w:rPr>
                <w:rFonts w:ascii="Arial Nova" w:hAnsi="Arial Nova" w:eastAsia="Arial Nova" w:cs="Arial Nova"/>
                <w:b w:val="1"/>
                <w:bCs w:val="1"/>
                <w:i w:val="0"/>
                <w:iCs w:val="0"/>
                <w:sz w:val="24"/>
                <w:szCs w:val="24"/>
                <w:lang w:val="es-ES"/>
              </w:rPr>
              <w:t xml:space="preserve"> ocupa el primer lugar del ranking Google x Kantar </w:t>
            </w:r>
            <w:r w:rsidRPr="51F5C03E" w:rsidR="7DC8A776">
              <w:rPr>
                <w:rFonts w:ascii="Arial Nova" w:hAnsi="Arial Nova" w:eastAsia="Arial Nova" w:cs="Arial Nova"/>
                <w:b w:val="1"/>
                <w:bCs w:val="1"/>
                <w:i w:val="0"/>
                <w:iCs w:val="0"/>
                <w:sz w:val="24"/>
                <w:szCs w:val="24"/>
                <w:lang w:val="es-ES"/>
              </w:rPr>
              <w:t>BrandZ</w:t>
            </w:r>
            <w:r w:rsidRPr="51F5C03E" w:rsidR="7DC8A776">
              <w:rPr>
                <w:rFonts w:ascii="Arial Nova" w:hAnsi="Arial Nova" w:eastAsia="Arial Nova" w:cs="Arial Nova"/>
                <w:b w:val="1"/>
                <w:bCs w:val="1"/>
                <w:i w:val="0"/>
                <w:iCs w:val="0"/>
                <w:sz w:val="24"/>
                <w:szCs w:val="24"/>
                <w:lang w:val="es-ES"/>
              </w:rPr>
              <w:t xml:space="preserve"> </w:t>
            </w:r>
            <w:r w:rsidRPr="51F5C03E" w:rsidR="792B0F29">
              <w:rPr>
                <w:rFonts w:ascii="Arial Nova" w:hAnsi="Arial Nova" w:eastAsia="Arial Nova" w:cs="Arial Nova"/>
                <w:b w:val="1"/>
                <w:bCs w:val="1"/>
                <w:i w:val="0"/>
                <w:iCs w:val="0"/>
                <w:sz w:val="24"/>
                <w:szCs w:val="24"/>
                <w:lang w:val="es-ES"/>
              </w:rPr>
              <w:t>de marcas chinas en 2024</w:t>
            </w:r>
          </w:p>
          <w:p w:rsidR="1D1ED89A" w:rsidP="1D1ED89A" w:rsidRDefault="1D1ED89A" w14:paraId="74DA1C06" w14:textId="6EF8B8B9">
            <w:pPr>
              <w:spacing w:line="279" w:lineRule="auto"/>
              <w:rPr>
                <w:rFonts w:ascii="Arial" w:hAnsi="Arial" w:eastAsia="Arial" w:cs="Arial"/>
                <w:b w:val="0"/>
                <w:bCs w:val="0"/>
                <w:i w:val="0"/>
                <w:iCs w:val="0"/>
                <w:color w:val="242424"/>
                <w:sz w:val="24"/>
                <w:szCs w:val="24"/>
              </w:rPr>
            </w:pPr>
            <w:r w:rsidRPr="1D1ED89A" w:rsidR="1D1ED89A">
              <w:rPr>
                <w:rFonts w:ascii="Arial" w:hAnsi="Arial" w:eastAsia="Arial" w:cs="Arial"/>
                <w:b w:val="1"/>
                <w:bCs w:val="1"/>
                <w:i w:val="0"/>
                <w:iCs w:val="0"/>
                <w:color w:val="242424"/>
                <w:sz w:val="24"/>
                <w:szCs w:val="24"/>
                <w:lang w:val="es-ES"/>
              </w:rPr>
              <w:t xml:space="preserve"> </w:t>
            </w:r>
          </w:p>
          <w:p w:rsidR="1D1ED89A" w:rsidP="1D1ED89A" w:rsidRDefault="1D1ED89A" w14:paraId="61BDC849" w14:textId="55E310E0">
            <w:pPr>
              <w:spacing w:line="259" w:lineRule="auto"/>
              <w:jc w:val="both"/>
              <w:rPr>
                <w:rFonts w:ascii="Arial Nova" w:hAnsi="Arial Nova" w:eastAsia="Arial Nova" w:cs="Arial Nova"/>
                <w:b w:val="0"/>
                <w:bCs w:val="0"/>
                <w:i w:val="0"/>
                <w:iCs w:val="0"/>
                <w:color w:val="000000" w:themeColor="text1" w:themeTint="FF" w:themeShade="FF"/>
                <w:sz w:val="22"/>
                <w:szCs w:val="22"/>
              </w:rPr>
            </w:pPr>
          </w:p>
          <w:p w:rsidR="6F0664FA" w:rsidP="51F5C03E" w:rsidRDefault="6F0664FA" w14:paraId="525B733C" w14:textId="09C837BF">
            <w:pPr>
              <w:pStyle w:val="ListParagraph"/>
              <w:widowControl w:val="0"/>
              <w:numPr>
                <w:ilvl w:val="0"/>
                <w:numId w:val="1"/>
              </w:numPr>
              <w:spacing w:line="259" w:lineRule="auto"/>
              <w:jc w:val="both"/>
              <w:rPr>
                <w:rFonts w:ascii="Arial Nova" w:hAnsi="Arial Nova" w:eastAsia="Arial Nova" w:cs="Arial Nova"/>
                <w:b w:val="0"/>
                <w:bCs w:val="0"/>
                <w:i w:val="1"/>
                <w:iCs w:val="1"/>
                <w:caps w:val="0"/>
                <w:smallCaps w:val="0"/>
                <w:noProof w:val="0"/>
                <w:color w:val="000000" w:themeColor="text1" w:themeTint="FF" w:themeShade="FF"/>
                <w:sz w:val="22"/>
                <w:szCs w:val="22"/>
                <w:lang w:val="es-ES"/>
              </w:rPr>
            </w:pPr>
            <w:r w:rsidRPr="51F5C03E" w:rsidR="6F0664FA">
              <w:rPr>
                <w:rFonts w:ascii="Arial Nova" w:hAnsi="Arial Nova" w:eastAsia="Arial Nova" w:cs="Arial Nova"/>
                <w:b w:val="0"/>
                <w:bCs w:val="0"/>
                <w:i w:val="1"/>
                <w:iCs w:val="1"/>
                <w:color w:val="000000" w:themeColor="text1" w:themeTint="FF" w:themeShade="FF"/>
                <w:sz w:val="22"/>
                <w:szCs w:val="22"/>
                <w:lang w:val="es-MX"/>
              </w:rPr>
              <w:t>Chirey</w:t>
            </w:r>
            <w:r w:rsidRPr="51F5C03E" w:rsidR="6F0664FA">
              <w:rPr>
                <w:rFonts w:ascii="Arial Nova" w:hAnsi="Arial Nova" w:eastAsia="Arial Nova" w:cs="Arial Nova"/>
                <w:b w:val="0"/>
                <w:bCs w:val="0"/>
                <w:i w:val="1"/>
                <w:iCs w:val="1"/>
                <w:color w:val="000000" w:themeColor="text1" w:themeTint="FF" w:themeShade="FF"/>
                <w:sz w:val="22"/>
                <w:szCs w:val="22"/>
                <w:lang w:val="es-MX"/>
              </w:rPr>
              <w:t xml:space="preserve"> se consolida como referente del sector automotriz a nivel mundial, </w:t>
            </w:r>
            <w:r w:rsidRPr="51F5C03E" w:rsidR="6811CB45">
              <w:rPr>
                <w:rFonts w:ascii="Arial Nova" w:hAnsi="Arial Nova" w:eastAsia="Arial Nova" w:cs="Arial Nova"/>
                <w:b w:val="0"/>
                <w:bCs w:val="0"/>
                <w:i w:val="1"/>
                <w:iCs w:val="1"/>
                <w:color w:val="000000" w:themeColor="text1" w:themeTint="FF" w:themeShade="FF"/>
                <w:sz w:val="22"/>
                <w:szCs w:val="22"/>
                <w:lang w:val="es-MX"/>
              </w:rPr>
              <w:t>coloc</w:t>
            </w:r>
            <w:r w:rsidRPr="51F5C03E" w:rsidR="60F49D53">
              <w:rPr>
                <w:rFonts w:ascii="Arial Nova" w:hAnsi="Arial Nova" w:eastAsia="Arial Nova" w:cs="Arial Nova"/>
                <w:b w:val="0"/>
                <w:bCs w:val="0"/>
                <w:i w:val="1"/>
                <w:iCs w:val="1"/>
                <w:color w:val="000000" w:themeColor="text1" w:themeTint="FF" w:themeShade="FF"/>
                <w:sz w:val="22"/>
                <w:szCs w:val="22"/>
                <w:lang w:val="es-MX"/>
              </w:rPr>
              <w:t>á</w:t>
            </w:r>
            <w:r w:rsidRPr="51F5C03E" w:rsidR="6811CB45">
              <w:rPr>
                <w:rFonts w:ascii="Arial Nova" w:hAnsi="Arial Nova" w:eastAsia="Arial Nova" w:cs="Arial Nova"/>
                <w:b w:val="0"/>
                <w:bCs w:val="0"/>
                <w:i w:val="1"/>
                <w:iCs w:val="1"/>
                <w:color w:val="000000" w:themeColor="text1" w:themeTint="FF" w:themeShade="FF"/>
                <w:sz w:val="22"/>
                <w:szCs w:val="22"/>
                <w:lang w:val="es-MX"/>
              </w:rPr>
              <w:t>ndose</w:t>
            </w:r>
            <w:r w:rsidRPr="51F5C03E" w:rsidR="6811CB45">
              <w:rPr>
                <w:rFonts w:ascii="Arial Nova" w:hAnsi="Arial Nova" w:eastAsia="Arial Nova" w:cs="Arial Nova"/>
                <w:b w:val="0"/>
                <w:bCs w:val="0"/>
                <w:i w:val="1"/>
                <w:iCs w:val="1"/>
                <w:color w:val="000000" w:themeColor="text1" w:themeTint="FF" w:themeShade="FF"/>
                <w:sz w:val="22"/>
                <w:szCs w:val="22"/>
                <w:lang w:val="es-MX"/>
              </w:rPr>
              <w:t xml:space="preserve"> nuevamente a la cabeza del listado </w:t>
            </w:r>
            <w:r w:rsidRPr="51F5C03E" w:rsidR="6811CB45">
              <w:rPr>
                <w:rFonts w:ascii="Arial Nova" w:hAnsi="Arial Nova" w:eastAsia="Arial Nova" w:cs="Arial Nova"/>
                <w:b w:val="0"/>
                <w:bCs w:val="0"/>
                <w:i w:val="1"/>
                <w:iCs w:val="1"/>
                <w:caps w:val="0"/>
                <w:smallCaps w:val="0"/>
                <w:noProof w:val="0"/>
                <w:color w:val="000000" w:themeColor="text1" w:themeTint="FF" w:themeShade="FF"/>
                <w:sz w:val="22"/>
                <w:szCs w:val="22"/>
                <w:lang w:val="es-ES"/>
              </w:rPr>
              <w:t>de los 50 principales constructores de marcas chinas en 2024</w:t>
            </w:r>
            <w:r w:rsidRPr="51F5C03E" w:rsidR="08813969">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p>
          <w:p w:rsidR="4802FDB7" w:rsidP="51F5C03E" w:rsidRDefault="4802FDB7" w14:paraId="738963E9" w14:textId="3B051491">
            <w:pPr>
              <w:pStyle w:val="ListParagraph"/>
              <w:widowControl w:val="0"/>
              <w:numPr>
                <w:ilvl w:val="0"/>
                <w:numId w:val="1"/>
              </w:numPr>
              <w:spacing w:line="259" w:lineRule="auto"/>
              <w:jc w:val="both"/>
              <w:rPr>
                <w:rFonts w:ascii="Arial Nova" w:hAnsi="Arial Nova" w:eastAsia="Arial Nova" w:cs="Arial Nova"/>
                <w:b w:val="0"/>
                <w:bCs w:val="0"/>
                <w:i w:val="1"/>
                <w:iCs w:val="1"/>
                <w:strike w:val="0"/>
                <w:dstrike w:val="0"/>
                <w:noProof w:val="0"/>
                <w:color w:val="000000" w:themeColor="text1" w:themeTint="FF" w:themeShade="FF"/>
                <w:sz w:val="22"/>
                <w:szCs w:val="22"/>
                <w:u w:val="none"/>
                <w:lang w:val="es-ES"/>
              </w:rPr>
            </w:pPr>
            <w:r w:rsidRPr="51F5C03E" w:rsidR="4802FDB7">
              <w:rPr>
                <w:rFonts w:ascii="Arial Nova" w:hAnsi="Arial Nova" w:eastAsia="Arial Nova" w:cs="Arial Nova"/>
                <w:b w:val="0"/>
                <w:bCs w:val="0"/>
                <w:i w:val="1"/>
                <w:iCs w:val="1"/>
                <w:strike w:val="0"/>
                <w:dstrike w:val="0"/>
                <w:noProof w:val="0"/>
                <w:color w:val="000000" w:themeColor="text1" w:themeTint="FF" w:themeShade="FF"/>
                <w:sz w:val="22"/>
                <w:szCs w:val="22"/>
                <w:u w:val="none"/>
                <w:lang w:val="es-ES"/>
              </w:rPr>
              <w:t>De enero a mayo del</w:t>
            </w:r>
            <w:r w:rsidRPr="51F5C03E" w:rsidR="3B20BF45">
              <w:rPr>
                <w:rFonts w:ascii="Arial Nova" w:hAnsi="Arial Nova" w:eastAsia="Arial Nova" w:cs="Arial Nova"/>
                <w:b w:val="0"/>
                <w:bCs w:val="0"/>
                <w:i w:val="1"/>
                <w:iCs w:val="1"/>
                <w:strike w:val="0"/>
                <w:dstrike w:val="0"/>
                <w:noProof w:val="0"/>
                <w:color w:val="000000" w:themeColor="text1" w:themeTint="FF" w:themeShade="FF"/>
                <w:sz w:val="22"/>
                <w:szCs w:val="22"/>
                <w:u w:val="none"/>
                <w:lang w:val="es-ES"/>
              </w:rPr>
              <w:t xml:space="preserve"> presente año</w:t>
            </w:r>
            <w:r w:rsidRPr="51F5C03E" w:rsidR="4802FDB7">
              <w:rPr>
                <w:rFonts w:ascii="Arial Nova" w:hAnsi="Arial Nova" w:eastAsia="Arial Nova" w:cs="Arial Nova"/>
                <w:b w:val="0"/>
                <w:bCs w:val="0"/>
                <w:i w:val="1"/>
                <w:iCs w:val="1"/>
                <w:strike w:val="0"/>
                <w:dstrike w:val="0"/>
                <w:noProof w:val="0"/>
                <w:color w:val="000000" w:themeColor="text1" w:themeTint="FF" w:themeShade="FF"/>
                <w:sz w:val="22"/>
                <w:szCs w:val="22"/>
                <w:u w:val="none"/>
                <w:lang w:val="es-ES"/>
              </w:rPr>
              <w:t>, la marca china</w:t>
            </w:r>
            <w:r w:rsidRPr="51F5C03E" w:rsidR="2E9C4FA5">
              <w:rPr>
                <w:rFonts w:ascii="Arial Nova" w:hAnsi="Arial Nova" w:eastAsia="Arial Nova" w:cs="Arial Nova"/>
                <w:b w:val="0"/>
                <w:bCs w:val="0"/>
                <w:i w:val="1"/>
                <w:iCs w:val="1"/>
                <w:strike w:val="0"/>
                <w:dstrike w:val="0"/>
                <w:noProof w:val="0"/>
                <w:color w:val="000000" w:themeColor="text1" w:themeTint="FF" w:themeShade="FF"/>
                <w:sz w:val="22"/>
                <w:szCs w:val="22"/>
                <w:u w:val="none"/>
                <w:lang w:val="es-ES"/>
              </w:rPr>
              <w:t xml:space="preserve"> mundialmente conocida</w:t>
            </w:r>
            <w:r w:rsidRPr="51F5C03E" w:rsidR="4802FDB7">
              <w:rPr>
                <w:rFonts w:ascii="Arial Nova" w:hAnsi="Arial Nova" w:eastAsia="Arial Nova" w:cs="Arial Nova"/>
                <w:b w:val="0"/>
                <w:bCs w:val="0"/>
                <w:i w:val="1"/>
                <w:iCs w:val="1"/>
                <w:strike w:val="0"/>
                <w:dstrike w:val="0"/>
                <w:noProof w:val="0"/>
                <w:color w:val="000000" w:themeColor="text1" w:themeTint="FF" w:themeShade="FF"/>
                <w:sz w:val="22"/>
                <w:szCs w:val="22"/>
                <w:u w:val="none"/>
                <w:lang w:val="es-ES"/>
              </w:rPr>
              <w:t xml:space="preserve"> vendió 900,209 vehículos, lo que representa un aumento del 51% con respecto al 2023. </w:t>
            </w:r>
          </w:p>
          <w:p w:rsidR="1D1ED89A" w:rsidP="1D1ED89A" w:rsidRDefault="1D1ED89A" w14:paraId="049056CE" w14:textId="0297A4B4">
            <w:pPr>
              <w:widowControl w:val="0"/>
              <w:spacing w:line="259" w:lineRule="auto"/>
              <w:jc w:val="both"/>
              <w:rPr>
                <w:rFonts w:ascii="Arial Nova" w:hAnsi="Arial Nova" w:eastAsia="Arial Nova" w:cs="Arial Nova"/>
                <w:b w:val="0"/>
                <w:bCs w:val="0"/>
                <w:i w:val="0"/>
                <w:iCs w:val="0"/>
                <w:color w:val="000000" w:themeColor="text1" w:themeTint="FF" w:themeShade="FF"/>
                <w:sz w:val="22"/>
                <w:szCs w:val="22"/>
              </w:rPr>
            </w:pPr>
          </w:p>
        </w:tc>
      </w:tr>
    </w:tbl>
    <w:p w:rsidR="1D1ED89A" w:rsidP="51F5C03E" w:rsidRDefault="1D1ED89A" w14:paraId="03B59311" w14:textId="43C69963">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29FC6FBA">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51F5C03E" w:rsidR="19A423ED">
        <w:rPr>
          <w:rFonts w:ascii="Arial" w:hAnsi="Arial" w:eastAsia="Arial" w:cs="Arial"/>
          <w:b w:val="1"/>
          <w:bCs w:val="1"/>
          <w:i w:val="0"/>
          <w:iCs w:val="0"/>
          <w:caps w:val="0"/>
          <w:smallCaps w:val="0"/>
          <w:noProof w:val="0"/>
          <w:color w:val="000000" w:themeColor="text1" w:themeTint="FF" w:themeShade="FF"/>
          <w:sz w:val="22"/>
          <w:szCs w:val="22"/>
          <w:lang w:val="es-ES"/>
        </w:rPr>
        <w:t>27</w:t>
      </w:r>
      <w:r w:rsidRPr="51F5C03E" w:rsidR="29FC6FBA">
        <w:rPr>
          <w:rFonts w:ascii="Arial" w:hAnsi="Arial" w:eastAsia="Arial" w:cs="Arial"/>
          <w:b w:val="1"/>
          <w:bCs w:val="1"/>
          <w:i w:val="0"/>
          <w:iCs w:val="0"/>
          <w:caps w:val="0"/>
          <w:smallCaps w:val="0"/>
          <w:noProof w:val="0"/>
          <w:color w:val="000000" w:themeColor="text1" w:themeTint="FF" w:themeShade="FF"/>
          <w:sz w:val="22"/>
          <w:szCs w:val="22"/>
          <w:lang w:val="es-ES"/>
        </w:rPr>
        <w:t xml:space="preserve"> de junio de 2024.-</w:t>
      </w:r>
      <w:r w:rsidRPr="51F5C03E" w:rsidR="2DC76BE4">
        <w:rPr>
          <w:rFonts w:ascii="Arial" w:hAnsi="Arial" w:eastAsia="Arial" w:cs="Arial"/>
          <w:b w:val="1"/>
          <w:bCs w:val="1"/>
          <w:i w:val="0"/>
          <w:iCs w:val="0"/>
          <w:caps w:val="0"/>
          <w:smallCaps w:val="0"/>
          <w:noProof w:val="0"/>
          <w:color w:val="000000" w:themeColor="text1" w:themeTint="FF" w:themeShade="FF"/>
          <w:sz w:val="22"/>
          <w:szCs w:val="22"/>
          <w:lang w:val="es-ES"/>
        </w:rPr>
        <w:t xml:space="preserve"> </w:t>
      </w:r>
      <w:hyperlink r:id="R14629f6ccdb848de">
        <w:r w:rsidRPr="51F5C03E" w:rsidR="2DC76BE4">
          <w:rPr>
            <w:rStyle w:val="Hyperlink"/>
            <w:rFonts w:ascii="Arial" w:hAnsi="Arial" w:eastAsia="Arial" w:cs="Arial"/>
            <w:b w:val="1"/>
            <w:bCs w:val="1"/>
            <w:i w:val="0"/>
            <w:iCs w:val="0"/>
            <w:caps w:val="0"/>
            <w:smallCaps w:val="0"/>
            <w:noProof w:val="0"/>
            <w:sz w:val="22"/>
            <w:szCs w:val="22"/>
            <w:lang w:val="es-ES"/>
          </w:rPr>
          <w:t>Chirey</w:t>
        </w:r>
      </w:hyperlink>
      <w:r w:rsidRPr="51F5C03E" w:rsidR="2DC76BE4">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51F5C03E" w:rsidR="2DC76BE4">
        <w:rPr>
          <w:rFonts w:ascii="Arial" w:hAnsi="Arial" w:eastAsia="Arial" w:cs="Arial"/>
          <w:b w:val="0"/>
          <w:bCs w:val="0"/>
          <w:i w:val="0"/>
          <w:iCs w:val="0"/>
          <w:caps w:val="0"/>
          <w:smallCaps w:val="0"/>
          <w:noProof w:val="0"/>
          <w:color w:val="000000" w:themeColor="text1" w:themeTint="FF" w:themeShade="FF"/>
          <w:sz w:val="22"/>
          <w:szCs w:val="22"/>
          <w:lang w:val="es-ES"/>
        </w:rPr>
        <w:t xml:space="preserve">la marca china de alcance </w:t>
      </w:r>
      <w:r w:rsidRPr="51F5C03E" w:rsidR="07CF9C16">
        <w:rPr>
          <w:rFonts w:ascii="Arial" w:hAnsi="Arial" w:eastAsia="Arial" w:cs="Arial"/>
          <w:b w:val="0"/>
          <w:bCs w:val="0"/>
          <w:i w:val="0"/>
          <w:iCs w:val="0"/>
          <w:caps w:val="0"/>
          <w:smallCaps w:val="0"/>
          <w:noProof w:val="0"/>
          <w:color w:val="000000" w:themeColor="text1" w:themeTint="FF" w:themeShade="FF"/>
          <w:sz w:val="22"/>
          <w:szCs w:val="22"/>
          <w:lang w:val="es-ES"/>
        </w:rPr>
        <w:t>global</w:t>
      </w:r>
      <w:r w:rsidRPr="51F5C03E" w:rsidR="2DC76BE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1F5C03E" w:rsidR="66C2F514">
        <w:rPr>
          <w:rFonts w:ascii="Arial" w:hAnsi="Arial" w:eastAsia="Arial" w:cs="Arial"/>
          <w:b w:val="0"/>
          <w:bCs w:val="0"/>
          <w:i w:val="0"/>
          <w:iCs w:val="0"/>
          <w:caps w:val="0"/>
          <w:smallCaps w:val="0"/>
          <w:noProof w:val="0"/>
          <w:color w:val="000000" w:themeColor="text1" w:themeTint="FF" w:themeShade="FF"/>
          <w:sz w:val="22"/>
          <w:szCs w:val="22"/>
          <w:lang w:val="es-ES"/>
        </w:rPr>
        <w:t xml:space="preserve">aseguró </w:t>
      </w:r>
      <w:r w:rsidRPr="51F5C03E" w:rsidR="662E38AF">
        <w:rPr>
          <w:rFonts w:ascii="Arial" w:hAnsi="Arial" w:eastAsia="Arial" w:cs="Arial"/>
          <w:b w:val="0"/>
          <w:bCs w:val="0"/>
          <w:i w:val="0"/>
          <w:iCs w:val="0"/>
          <w:caps w:val="0"/>
          <w:smallCaps w:val="0"/>
          <w:noProof w:val="0"/>
          <w:color w:val="000000" w:themeColor="text1" w:themeTint="FF" w:themeShade="FF"/>
          <w:sz w:val="22"/>
          <w:szCs w:val="22"/>
          <w:lang w:val="es-ES"/>
        </w:rPr>
        <w:t xml:space="preserve">una vez </w:t>
      </w:r>
      <w:r w:rsidRPr="51F5C03E" w:rsidR="66DAFFBC">
        <w:rPr>
          <w:rFonts w:ascii="Arial" w:hAnsi="Arial" w:eastAsia="Arial" w:cs="Arial"/>
          <w:b w:val="0"/>
          <w:bCs w:val="0"/>
          <w:i w:val="0"/>
          <w:iCs w:val="0"/>
          <w:caps w:val="0"/>
          <w:smallCaps w:val="0"/>
          <w:noProof w:val="0"/>
          <w:color w:val="000000" w:themeColor="text1" w:themeTint="FF" w:themeShade="FF"/>
          <w:sz w:val="22"/>
          <w:szCs w:val="22"/>
          <w:lang w:val="es-ES"/>
        </w:rPr>
        <w:t>más el</w:t>
      </w:r>
      <w:r w:rsidRPr="51F5C03E" w:rsidR="1398BFC4">
        <w:rPr>
          <w:rFonts w:ascii="Arial" w:hAnsi="Arial" w:eastAsia="Arial" w:cs="Arial"/>
          <w:b w:val="0"/>
          <w:bCs w:val="0"/>
          <w:i w:val="0"/>
          <w:iCs w:val="0"/>
          <w:caps w:val="0"/>
          <w:smallCaps w:val="0"/>
          <w:noProof w:val="0"/>
          <w:color w:val="000000" w:themeColor="text1" w:themeTint="FF" w:themeShade="FF"/>
          <w:sz w:val="22"/>
          <w:szCs w:val="22"/>
          <w:lang w:val="es-ES"/>
        </w:rPr>
        <w:t xml:space="preserve"> primer sitio </w:t>
      </w:r>
      <w:r w:rsidRPr="51F5C03E" w:rsidR="66C2F514">
        <w:rPr>
          <w:rFonts w:ascii="Arial" w:hAnsi="Arial" w:eastAsia="Arial" w:cs="Arial"/>
          <w:b w:val="0"/>
          <w:bCs w:val="0"/>
          <w:i w:val="0"/>
          <w:iCs w:val="0"/>
          <w:caps w:val="0"/>
          <w:smallCaps w:val="0"/>
          <w:noProof w:val="0"/>
          <w:color w:val="000000" w:themeColor="text1" w:themeTint="FF" w:themeShade="FF"/>
          <w:sz w:val="22"/>
          <w:szCs w:val="22"/>
          <w:lang w:val="es-ES"/>
        </w:rPr>
        <w:t xml:space="preserve">en la categoría automotriz de los 50 principales </w:t>
      </w:r>
      <w:r w:rsidRPr="51F5C03E" w:rsidR="66014309">
        <w:rPr>
          <w:rFonts w:ascii="Arial" w:hAnsi="Arial" w:eastAsia="Arial" w:cs="Arial"/>
          <w:b w:val="0"/>
          <w:bCs w:val="0"/>
          <w:i w:val="0"/>
          <w:iCs w:val="0"/>
          <w:caps w:val="0"/>
          <w:smallCaps w:val="0"/>
          <w:noProof w:val="0"/>
          <w:color w:val="000000" w:themeColor="text1" w:themeTint="FF" w:themeShade="FF"/>
          <w:sz w:val="22"/>
          <w:szCs w:val="22"/>
          <w:lang w:val="es-ES"/>
        </w:rPr>
        <w:t xml:space="preserve">constructores de marcas chinas en 2024 del </w:t>
      </w:r>
      <w:r w:rsidRPr="51F5C03E" w:rsidR="2DC76BE4">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Google x Kantar </w:t>
      </w:r>
      <w:r w:rsidRPr="51F5C03E" w:rsidR="2DC76BE4">
        <w:rPr>
          <w:rFonts w:ascii="Arial" w:hAnsi="Arial" w:eastAsia="Arial" w:cs="Arial"/>
          <w:b w:val="1"/>
          <w:bCs w:val="1"/>
          <w:i w:val="1"/>
          <w:iCs w:val="1"/>
          <w:strike w:val="0"/>
          <w:dstrike w:val="0"/>
          <w:noProof w:val="0"/>
          <w:color w:val="000000" w:themeColor="text1" w:themeTint="FF" w:themeShade="FF"/>
          <w:sz w:val="22"/>
          <w:szCs w:val="22"/>
          <w:u w:val="none"/>
          <w:lang w:val="es-ES"/>
        </w:rPr>
        <w:t>BrandZ</w:t>
      </w:r>
      <w:r w:rsidRPr="51F5C03E" w:rsidR="4BF812ED">
        <w:rPr>
          <w:rFonts w:ascii="Arial" w:hAnsi="Arial" w:eastAsia="Arial" w:cs="Arial"/>
          <w:b w:val="0"/>
          <w:bCs w:val="0"/>
          <w:i w:val="1"/>
          <w:iCs w:val="1"/>
          <w:strike w:val="0"/>
          <w:dstrike w:val="0"/>
          <w:noProof w:val="0"/>
          <w:color w:val="000000" w:themeColor="text1" w:themeTint="FF" w:themeShade="FF"/>
          <w:sz w:val="22"/>
          <w:szCs w:val="22"/>
          <w:u w:val="none"/>
          <w:lang w:val="es-ES"/>
        </w:rPr>
        <w:t>.</w:t>
      </w:r>
      <w:r w:rsidRPr="51F5C03E" w:rsidR="6C544E8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51F5C03E" w:rsidR="6C544E8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Este </w:t>
      </w:r>
      <w:r w:rsidRPr="51F5C03E" w:rsidR="7013DA55">
        <w:rPr>
          <w:rFonts w:ascii="Arial" w:hAnsi="Arial" w:eastAsia="Arial" w:cs="Arial"/>
          <w:b w:val="0"/>
          <w:bCs w:val="0"/>
          <w:i w:val="0"/>
          <w:iCs w:val="0"/>
          <w:strike w:val="0"/>
          <w:dstrike w:val="0"/>
          <w:noProof w:val="0"/>
          <w:color w:val="000000" w:themeColor="text1" w:themeTint="FF" w:themeShade="FF"/>
          <w:sz w:val="22"/>
          <w:szCs w:val="22"/>
          <w:u w:val="none"/>
          <w:lang w:val="es-ES"/>
        </w:rPr>
        <w:t>reconocimiento</w:t>
      </w:r>
      <w:r w:rsidRPr="51F5C03E" w:rsidR="6C544E8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global confirma su</w:t>
      </w:r>
      <w:r w:rsidRPr="51F5C03E" w:rsidR="56CAE3F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liderazgo en el mercado automotriz chino</w:t>
      </w:r>
      <w:r w:rsidRPr="51F5C03E" w:rsidR="121637C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así como su </w:t>
      </w:r>
      <w:r w:rsidRPr="51F5C03E" w:rsidR="56CAE3F9">
        <w:rPr>
          <w:rFonts w:ascii="Arial" w:hAnsi="Arial" w:eastAsia="Arial" w:cs="Arial"/>
          <w:b w:val="0"/>
          <w:bCs w:val="0"/>
          <w:i w:val="0"/>
          <w:iCs w:val="0"/>
          <w:strike w:val="0"/>
          <w:dstrike w:val="0"/>
          <w:noProof w:val="0"/>
          <w:color w:val="000000" w:themeColor="text1" w:themeTint="FF" w:themeShade="FF"/>
          <w:sz w:val="22"/>
          <w:szCs w:val="22"/>
          <w:u w:val="none"/>
          <w:lang w:val="es-ES"/>
        </w:rPr>
        <w:t>compromiso central de innovación</w:t>
      </w:r>
      <w:r w:rsidRPr="51F5C03E" w:rsidR="0D13E76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la industria. </w:t>
      </w:r>
    </w:p>
    <w:p w:rsidR="1D1ED89A" w:rsidP="51F5C03E" w:rsidRDefault="1D1ED89A" w14:paraId="7331A6BE" w14:textId="66C20F76">
      <w:pPr>
        <w:pStyle w:val="Normal"/>
        <w:jc w:val="both"/>
        <w:rPr>
          <w:rFonts w:ascii="Arial" w:hAnsi="Arial" w:eastAsia="Arial" w:cs="Arial"/>
          <w:noProof w:val="0"/>
          <w:sz w:val="22"/>
          <w:szCs w:val="22"/>
          <w:lang w:val="es-ES"/>
        </w:rPr>
      </w:pPr>
      <w:r w:rsidRPr="51F5C03E" w:rsidR="04D3E335">
        <w:rPr>
          <w:rFonts w:ascii="Arial" w:hAnsi="Arial" w:eastAsia="Arial" w:cs="Arial"/>
          <w:noProof w:val="0"/>
          <w:sz w:val="22"/>
          <w:szCs w:val="22"/>
          <w:lang w:val="es-ES"/>
        </w:rPr>
        <w:t>De acuerdo con este informe</w:t>
      </w:r>
      <w:r w:rsidRPr="51F5C03E" w:rsidR="3CE16860">
        <w:rPr>
          <w:rFonts w:ascii="Arial" w:hAnsi="Arial" w:eastAsia="Arial" w:cs="Arial"/>
          <w:noProof w:val="0"/>
          <w:sz w:val="22"/>
          <w:szCs w:val="22"/>
          <w:lang w:val="es-ES"/>
        </w:rPr>
        <w:t xml:space="preserve"> realizado entre </w:t>
      </w:r>
      <w:r w:rsidRPr="51F5C03E" w:rsidR="3CE16860">
        <w:rPr>
          <w:rFonts w:ascii="Arial" w:hAnsi="Arial" w:eastAsia="Arial" w:cs="Arial"/>
          <w:i w:val="1"/>
          <w:iCs w:val="1"/>
          <w:noProof w:val="0"/>
          <w:sz w:val="22"/>
          <w:szCs w:val="22"/>
          <w:lang w:val="es-ES"/>
        </w:rPr>
        <w:t xml:space="preserve">Google </w:t>
      </w:r>
      <w:r w:rsidRPr="51F5C03E" w:rsidR="3CE16860">
        <w:rPr>
          <w:rFonts w:ascii="Arial" w:hAnsi="Arial" w:eastAsia="Arial" w:cs="Arial"/>
          <w:noProof w:val="0"/>
          <w:sz w:val="22"/>
          <w:szCs w:val="22"/>
          <w:lang w:val="es-ES"/>
        </w:rPr>
        <w:t xml:space="preserve">y Kantar, </w:t>
      </w:r>
      <w:r w:rsidRPr="51F5C03E" w:rsidR="04D3E335">
        <w:rPr>
          <w:rFonts w:ascii="Arial" w:hAnsi="Arial" w:eastAsia="Arial" w:cs="Arial"/>
          <w:noProof w:val="0"/>
          <w:sz w:val="22"/>
          <w:szCs w:val="22"/>
          <w:lang w:val="es-ES"/>
        </w:rPr>
        <w:t xml:space="preserve">las 50 principales marcas de 2024 se distribuyen en siete categorías principales, destacándose </w:t>
      </w:r>
      <w:r w:rsidRPr="51F5C03E" w:rsidR="64AA8E98">
        <w:rPr>
          <w:rFonts w:ascii="Arial" w:hAnsi="Arial" w:eastAsia="Arial" w:cs="Arial"/>
          <w:noProof w:val="0"/>
          <w:sz w:val="22"/>
          <w:szCs w:val="22"/>
          <w:lang w:val="es-ES"/>
        </w:rPr>
        <w:t xml:space="preserve">el sector </w:t>
      </w:r>
      <w:r w:rsidRPr="51F5C03E" w:rsidR="04D3E335">
        <w:rPr>
          <w:rFonts w:ascii="Arial" w:hAnsi="Arial" w:eastAsia="Arial" w:cs="Arial"/>
          <w:noProof w:val="0"/>
          <w:sz w:val="22"/>
          <w:szCs w:val="22"/>
          <w:lang w:val="es-ES"/>
        </w:rPr>
        <w:t xml:space="preserve">automotriz por su rápido crecimiento. En particular, ocho marcas automotrices entraron en la lista este año, logrando un </w:t>
      </w:r>
      <w:r w:rsidRPr="51F5C03E" w:rsidR="49441125">
        <w:rPr>
          <w:rFonts w:ascii="Arial" w:hAnsi="Arial" w:eastAsia="Arial" w:cs="Arial"/>
          <w:noProof w:val="0"/>
          <w:sz w:val="22"/>
          <w:szCs w:val="22"/>
          <w:lang w:val="es-ES"/>
        </w:rPr>
        <w:t xml:space="preserve">notable </w:t>
      </w:r>
      <w:r w:rsidRPr="51F5C03E" w:rsidR="04D3E335">
        <w:rPr>
          <w:rFonts w:ascii="Arial" w:hAnsi="Arial" w:eastAsia="Arial" w:cs="Arial"/>
          <w:noProof w:val="0"/>
          <w:sz w:val="22"/>
          <w:szCs w:val="22"/>
          <w:lang w:val="es-ES"/>
        </w:rPr>
        <w:t>aumento del 51% en su fortaleza de marca.</w:t>
      </w:r>
    </w:p>
    <w:p w:rsidR="1D1ED89A" w:rsidP="51F5C03E" w:rsidRDefault="1D1ED89A" w14:paraId="11BF065D" w14:textId="66C2EFAC">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66320E68">
        <w:rPr>
          <w:rFonts w:ascii="Arial" w:hAnsi="Arial" w:eastAsia="Arial" w:cs="Arial"/>
          <w:b w:val="0"/>
          <w:bCs w:val="0"/>
          <w:i w:val="0"/>
          <w:iCs w:val="0"/>
          <w:strike w:val="0"/>
          <w:dstrike w:val="0"/>
          <w:noProof w:val="0"/>
          <w:color w:val="000000" w:themeColor="text1" w:themeTint="FF" w:themeShade="FF"/>
          <w:sz w:val="22"/>
          <w:szCs w:val="22"/>
          <w:u w:val="none"/>
          <w:lang w:val="es-ES"/>
        </w:rPr>
        <w:t>C</w:t>
      </w:r>
      <w:r w:rsidRPr="51F5C03E" w:rsidR="70294BD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abe destacar que </w:t>
      </w:r>
      <w:r w:rsidRPr="51F5C03E" w:rsidR="5D93BA4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se trata de </w:t>
      </w:r>
      <w:r w:rsidRPr="51F5C03E" w:rsidR="70294BD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séptima </w:t>
      </w:r>
      <w:r w:rsidRPr="51F5C03E" w:rsidR="03380AC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aparición de </w:t>
      </w:r>
      <w:r w:rsidRPr="51F5C03E" w:rsidR="03380AC1">
        <w:rPr>
          <w:rFonts w:ascii="Arial" w:hAnsi="Arial" w:eastAsia="Arial" w:cs="Arial"/>
          <w:b w:val="1"/>
          <w:bCs w:val="1"/>
          <w:i w:val="0"/>
          <w:iCs w:val="0"/>
          <w:strike w:val="0"/>
          <w:dstrike w:val="0"/>
          <w:noProof w:val="0"/>
          <w:color w:val="000000" w:themeColor="text1" w:themeTint="FF" w:themeShade="FF"/>
          <w:sz w:val="22"/>
          <w:szCs w:val="22"/>
          <w:u w:val="none"/>
          <w:lang w:val="es-ES"/>
        </w:rPr>
        <w:t>Chirey</w:t>
      </w:r>
      <w:r w:rsidRPr="51F5C03E" w:rsidR="03380AC1">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51F5C03E" w:rsidR="03380AC1">
        <w:rPr>
          <w:rFonts w:ascii="Arial" w:hAnsi="Arial" w:eastAsia="Arial" w:cs="Arial"/>
          <w:b w:val="0"/>
          <w:bCs w:val="0"/>
          <w:i w:val="0"/>
          <w:iCs w:val="0"/>
          <w:strike w:val="0"/>
          <w:dstrike w:val="0"/>
          <w:noProof w:val="0"/>
          <w:color w:val="000000" w:themeColor="text1" w:themeTint="FF" w:themeShade="FF"/>
          <w:sz w:val="22"/>
          <w:szCs w:val="22"/>
          <w:u w:val="none"/>
          <w:lang w:val="es-ES"/>
        </w:rPr>
        <w:t>en esta prestigiosa lista</w:t>
      </w:r>
      <w:r w:rsidRPr="51F5C03E" w:rsidR="2E8BF0E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que en esta </w:t>
      </w:r>
      <w:r w:rsidRPr="51F5C03E" w:rsidR="0445E17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edición </w:t>
      </w:r>
      <w:r w:rsidRPr="51F5C03E" w:rsidR="164C33E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mostró </w:t>
      </w:r>
      <w:r w:rsidRPr="51F5C03E" w:rsidR="2583831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que la percepción de valor influye significativamente en las decisiones de compra. </w:t>
      </w:r>
      <w:r w:rsidRPr="51F5C03E" w:rsidR="51AEED7E">
        <w:rPr>
          <w:rFonts w:ascii="Arial" w:hAnsi="Arial" w:eastAsia="Arial" w:cs="Arial"/>
          <w:b w:val="0"/>
          <w:bCs w:val="0"/>
          <w:i w:val="0"/>
          <w:iCs w:val="0"/>
          <w:strike w:val="0"/>
          <w:dstrike w:val="0"/>
          <w:noProof w:val="0"/>
          <w:color w:val="000000" w:themeColor="text1" w:themeTint="FF" w:themeShade="FF"/>
          <w:sz w:val="22"/>
          <w:szCs w:val="22"/>
          <w:u w:val="none"/>
          <w:lang w:val="es-ES"/>
        </w:rPr>
        <w:t>De hecho, t</w:t>
      </w:r>
      <w:r w:rsidRPr="51F5C03E" w:rsidR="2583831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res cuartas partes de los </w:t>
      </w:r>
      <w:r w:rsidRPr="51F5C03E" w:rsidR="6C821593">
        <w:rPr>
          <w:rFonts w:ascii="Arial" w:hAnsi="Arial" w:eastAsia="Arial" w:cs="Arial"/>
          <w:b w:val="0"/>
          <w:bCs w:val="0"/>
          <w:i w:val="0"/>
          <w:iCs w:val="0"/>
          <w:strike w:val="0"/>
          <w:dstrike w:val="0"/>
          <w:noProof w:val="0"/>
          <w:color w:val="000000" w:themeColor="text1" w:themeTint="FF" w:themeShade="FF"/>
          <w:sz w:val="22"/>
          <w:szCs w:val="22"/>
          <w:u w:val="none"/>
          <w:lang w:val="es-ES"/>
        </w:rPr>
        <w:t>usuarios</w:t>
      </w:r>
      <w:r w:rsidRPr="51F5C03E" w:rsidR="2583831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declararon explícitamente que sus principales razones para elegir marcas chinas incluyen "confianza en estas </w:t>
      </w:r>
      <w:r w:rsidRPr="51F5C03E" w:rsidR="4A00DE40">
        <w:rPr>
          <w:rFonts w:ascii="Arial" w:hAnsi="Arial" w:eastAsia="Arial" w:cs="Arial"/>
          <w:b w:val="0"/>
          <w:bCs w:val="0"/>
          <w:i w:val="0"/>
          <w:iCs w:val="0"/>
          <w:strike w:val="0"/>
          <w:dstrike w:val="0"/>
          <w:noProof w:val="0"/>
          <w:color w:val="000000" w:themeColor="text1" w:themeTint="FF" w:themeShade="FF"/>
          <w:sz w:val="22"/>
          <w:szCs w:val="22"/>
          <w:u w:val="none"/>
          <w:lang w:val="es-ES"/>
        </w:rPr>
        <w:t>empresas</w:t>
      </w:r>
      <w:r w:rsidRPr="51F5C03E" w:rsidR="25838318">
        <w:rPr>
          <w:rFonts w:ascii="Arial" w:hAnsi="Arial" w:eastAsia="Arial" w:cs="Arial"/>
          <w:b w:val="0"/>
          <w:bCs w:val="0"/>
          <w:i w:val="0"/>
          <w:iCs w:val="0"/>
          <w:strike w:val="0"/>
          <w:dstrike w:val="0"/>
          <w:noProof w:val="0"/>
          <w:color w:val="000000" w:themeColor="text1" w:themeTint="FF" w:themeShade="FF"/>
          <w:sz w:val="22"/>
          <w:szCs w:val="22"/>
          <w:u w:val="none"/>
          <w:lang w:val="es-ES"/>
        </w:rPr>
        <w:t>" y "capacidad para satisfacer necesidades únicas"</w:t>
      </w:r>
      <w:r w:rsidRPr="51F5C03E" w:rsidR="063D4FD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1D1ED89A" w:rsidP="51F5C03E" w:rsidRDefault="1D1ED89A" w14:paraId="337A0112" w14:textId="4DA8FF56">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232A8776">
        <w:rPr>
          <w:rFonts w:ascii="Arial" w:hAnsi="Arial" w:eastAsia="Arial" w:cs="Arial"/>
          <w:b w:val="0"/>
          <w:bCs w:val="0"/>
          <w:i w:val="0"/>
          <w:iCs w:val="0"/>
          <w:strike w:val="0"/>
          <w:dstrike w:val="0"/>
          <w:noProof w:val="0"/>
          <w:color w:val="000000" w:themeColor="text1" w:themeTint="FF" w:themeShade="FF"/>
          <w:sz w:val="22"/>
          <w:szCs w:val="22"/>
          <w:u w:val="none"/>
          <w:lang w:val="es-ES"/>
        </w:rPr>
        <w:t>Por eso</w:t>
      </w:r>
      <w:r w:rsidRPr="51F5C03E" w:rsidR="1AAA0962">
        <w:rPr>
          <w:rFonts w:ascii="Arial" w:hAnsi="Arial" w:eastAsia="Arial" w:cs="Arial"/>
          <w:b w:val="0"/>
          <w:bCs w:val="0"/>
          <w:i w:val="0"/>
          <w:iCs w:val="0"/>
          <w:strike w:val="0"/>
          <w:dstrike w:val="0"/>
          <w:noProof w:val="0"/>
          <w:color w:val="000000" w:themeColor="text1" w:themeTint="FF" w:themeShade="FF"/>
          <w:sz w:val="22"/>
          <w:szCs w:val="22"/>
          <w:u w:val="none"/>
          <w:lang w:val="es-ES"/>
        </w:rPr>
        <w:t>, l</w:t>
      </w:r>
      <w:r w:rsidRPr="51F5C03E" w:rsidR="4A289DA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os consumidores han </w:t>
      </w:r>
      <w:r w:rsidRPr="51F5C03E" w:rsidR="4DA5422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depositado su confianza </w:t>
      </w:r>
      <w:r w:rsidRPr="51F5C03E" w:rsidR="60BF37F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w:t>
      </w:r>
      <w:r w:rsidRPr="51F5C03E" w:rsidR="4A289DA3">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51F5C03E" w:rsidR="1E8C7A3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dado que la </w:t>
      </w:r>
      <w:r w:rsidRPr="51F5C03E" w:rsidR="6ED64A4D">
        <w:rPr>
          <w:rFonts w:ascii="Arial" w:hAnsi="Arial" w:eastAsia="Arial" w:cs="Arial"/>
          <w:b w:val="0"/>
          <w:bCs w:val="0"/>
          <w:i w:val="0"/>
          <w:iCs w:val="0"/>
          <w:strike w:val="0"/>
          <w:dstrike w:val="0"/>
          <w:noProof w:val="0"/>
          <w:color w:val="000000" w:themeColor="text1" w:themeTint="FF" w:themeShade="FF"/>
          <w:sz w:val="22"/>
          <w:szCs w:val="22"/>
          <w:u w:val="none"/>
          <w:lang w:val="es-ES"/>
        </w:rPr>
        <w:t>compañía</w:t>
      </w:r>
      <w:r w:rsidRPr="51F5C03E" w:rsidR="1E8C7A3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reúne </w:t>
      </w:r>
      <w:r w:rsidRPr="51F5C03E" w:rsidR="03B8BADD">
        <w:rPr>
          <w:rFonts w:ascii="Arial" w:hAnsi="Arial" w:eastAsia="Arial" w:cs="Arial"/>
          <w:b w:val="0"/>
          <w:bCs w:val="0"/>
          <w:i w:val="0"/>
          <w:iCs w:val="0"/>
          <w:strike w:val="0"/>
          <w:dstrike w:val="0"/>
          <w:noProof w:val="0"/>
          <w:color w:val="000000" w:themeColor="text1" w:themeTint="FF" w:themeShade="FF"/>
          <w:sz w:val="22"/>
          <w:szCs w:val="22"/>
          <w:u w:val="none"/>
          <w:lang w:val="es-ES"/>
        </w:rPr>
        <w:t>actualmente aspectos</w:t>
      </w:r>
      <w:r w:rsidRPr="51F5C03E" w:rsidR="1C64C4D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fundamentales, tal como </w:t>
      </w:r>
      <w:r w:rsidRPr="51F5C03E" w:rsidR="5FEA9AF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calidad, confiabilidad, precio razonable y satisfacción de necesidades únicas, </w:t>
      </w:r>
      <w:r w:rsidRPr="51F5C03E" w:rsidR="4A289DA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brindando </w:t>
      </w:r>
      <w:r w:rsidRPr="51F5C03E" w:rsidR="541539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así </w:t>
      </w:r>
      <w:r w:rsidRPr="51F5C03E" w:rsidR="4A289DA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experiencia de compra </w:t>
      </w:r>
      <w:r w:rsidRPr="51F5C03E" w:rsidR="6F03ED91">
        <w:rPr>
          <w:rFonts w:ascii="Arial" w:hAnsi="Arial" w:eastAsia="Arial" w:cs="Arial"/>
          <w:b w:val="0"/>
          <w:bCs w:val="0"/>
          <w:i w:val="0"/>
          <w:iCs w:val="0"/>
          <w:strike w:val="0"/>
          <w:dstrike w:val="0"/>
          <w:noProof w:val="0"/>
          <w:color w:val="000000" w:themeColor="text1" w:themeTint="FF" w:themeShade="FF"/>
          <w:sz w:val="22"/>
          <w:szCs w:val="22"/>
          <w:u w:val="none"/>
          <w:lang w:val="es-ES"/>
        </w:rPr>
        <w:t>automotriz</w:t>
      </w:r>
      <w:r w:rsidRPr="51F5C03E" w:rsidR="4A289DA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personalizada.</w:t>
      </w:r>
    </w:p>
    <w:p w:rsidR="1D1ED89A" w:rsidP="51F5C03E" w:rsidRDefault="1D1ED89A" w14:paraId="78B92C5A" w14:textId="0EC038E9">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Esto se refleja en su </w:t>
      </w:r>
      <w:r w:rsidRPr="51F5C03E" w:rsidR="1CFA4F6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cifra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récord de 937,148 vehículos exportados en 2023, marca</w:t>
      </w:r>
      <w:r w:rsidRPr="51F5C03E" w:rsidR="58652BA5">
        <w:rPr>
          <w:rFonts w:ascii="Arial" w:hAnsi="Arial" w:eastAsia="Arial" w:cs="Arial"/>
          <w:b w:val="0"/>
          <w:bCs w:val="0"/>
          <w:i w:val="0"/>
          <w:iCs w:val="0"/>
          <w:strike w:val="0"/>
          <w:dstrike w:val="0"/>
          <w:noProof w:val="0"/>
          <w:color w:val="000000" w:themeColor="text1" w:themeTint="FF" w:themeShade="FF"/>
          <w:sz w:val="22"/>
          <w:szCs w:val="22"/>
          <w:u w:val="none"/>
          <w:lang w:val="es-ES"/>
        </w:rPr>
        <w:t>ndo</w:t>
      </w:r>
      <w:r w:rsidRPr="51F5C03E" w:rsidR="58EF963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un aumento interanual del 101.1</w:t>
      </w:r>
      <w:r w:rsidRPr="51F5C03E" w:rsidR="4B2165A9">
        <w:rPr>
          <w:rFonts w:ascii="Arial" w:hAnsi="Arial" w:eastAsia="Arial" w:cs="Arial"/>
          <w:b w:val="0"/>
          <w:bCs w:val="0"/>
          <w:i w:val="0"/>
          <w:iCs w:val="0"/>
          <w:strike w:val="0"/>
          <w:dstrike w:val="0"/>
          <w:noProof w:val="0"/>
          <w:color w:val="000000" w:themeColor="text1" w:themeTint="FF" w:themeShade="FF"/>
          <w:sz w:val="22"/>
          <w:szCs w:val="22"/>
          <w:u w:val="none"/>
          <w:lang w:val="es-ES"/>
        </w:rPr>
        <w:t>%, así</w:t>
      </w:r>
      <w:r w:rsidRPr="51F5C03E" w:rsidR="0D25E21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como el liderazgo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exportaciones de automóviles de pasajeros chinos durante 21 años consecutivos. </w:t>
      </w:r>
      <w:r w:rsidRPr="51F5C03E" w:rsidR="7A1079BE">
        <w:rPr>
          <w:rFonts w:ascii="Arial" w:hAnsi="Arial" w:eastAsia="Arial" w:cs="Arial"/>
          <w:b w:val="0"/>
          <w:bCs w:val="0"/>
          <w:i w:val="0"/>
          <w:iCs w:val="0"/>
          <w:strike w:val="0"/>
          <w:dstrike w:val="0"/>
          <w:noProof w:val="0"/>
          <w:color w:val="000000" w:themeColor="text1" w:themeTint="FF" w:themeShade="FF"/>
          <w:sz w:val="22"/>
          <w:szCs w:val="22"/>
          <w:u w:val="none"/>
          <w:lang w:val="es-ES"/>
        </w:rPr>
        <w:t>Además, d</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 enero a mayo de 2024, Chery </w:t>
      </w:r>
      <w:r w:rsidRPr="51F5C03E" w:rsidR="2E48943B">
        <w:rPr>
          <w:rFonts w:ascii="Arial" w:hAnsi="Arial" w:eastAsia="Arial" w:cs="Arial"/>
          <w:b w:val="0"/>
          <w:bCs w:val="0"/>
          <w:i w:val="0"/>
          <w:iCs w:val="0"/>
          <w:strike w:val="0"/>
          <w:dstrike w:val="0"/>
          <w:noProof w:val="0"/>
          <w:color w:val="000000" w:themeColor="text1" w:themeTint="FF" w:themeShade="FF"/>
          <w:sz w:val="22"/>
          <w:szCs w:val="22"/>
          <w:u w:val="none"/>
          <w:lang w:val="es-ES"/>
        </w:rPr>
        <w:t>Group</w:t>
      </w:r>
      <w:r w:rsidRPr="51F5C03E" w:rsidR="2E48943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informó ventas acumuladas de 900,209 vehículos, reflejando un aumento interanual del 51%</w:t>
      </w:r>
      <w:r w:rsidRPr="51F5C03E" w:rsidR="1066459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una base de usuarios automotrices global que supera los 14 millones.</w:t>
      </w:r>
    </w:p>
    <w:p w:rsidR="1D1ED89A" w:rsidP="51F5C03E" w:rsidRDefault="1D1ED89A" w14:paraId="509B7852" w14:textId="3F466982">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familia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7</w:t>
      </w:r>
      <w:r w:rsidRPr="51F5C03E" w:rsidR="56021B2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ha dominado el segmento de exportación de SUV de clase A entre las marcas chinas durante tres años consecutivos, superando las 800,000 unidades en ventas globales. </w:t>
      </w:r>
      <w:r w:rsidRPr="51F5C03E" w:rsidR="32ED6D6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Aunado a esto, la línea ha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recibido </w:t>
      </w:r>
      <w:r w:rsidRPr="51F5C03E" w:rsidR="4052419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distinciones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reseñas de cinco estrellas y altas calificaciones de satisfacción del cliente a nivel mundial. </w:t>
      </w:r>
    </w:p>
    <w:p w:rsidR="1D1ED89A" w:rsidP="51F5C03E" w:rsidRDefault="1D1ED89A" w14:paraId="6B768590" w14:textId="722BB185">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69443F13">
        <w:rPr>
          <w:rFonts w:ascii="Arial" w:hAnsi="Arial" w:eastAsia="Arial" w:cs="Arial"/>
          <w:b w:val="0"/>
          <w:bCs w:val="0"/>
          <w:i w:val="0"/>
          <w:iCs w:val="0"/>
          <w:strike w:val="0"/>
          <w:dstrike w:val="0"/>
          <w:noProof w:val="0"/>
          <w:color w:val="000000" w:themeColor="text1" w:themeTint="FF" w:themeShade="FF"/>
          <w:sz w:val="22"/>
          <w:szCs w:val="22"/>
          <w:u w:val="none"/>
          <w:lang w:val="es-ES"/>
        </w:rPr>
        <w:t>Además, l</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w:t>
      </w:r>
      <w:r w:rsidRPr="51F5C03E" w:rsidR="7577F3BA">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Serie </w:t>
      </w:r>
      <w:r w:rsidRPr="51F5C03E" w:rsidR="7577F3BA">
        <w:rPr>
          <w:rFonts w:ascii="Arial" w:hAnsi="Arial" w:eastAsia="Arial" w:cs="Arial"/>
          <w:b w:val="1"/>
          <w:bCs w:val="1"/>
          <w:i w:val="0"/>
          <w:iCs w:val="0"/>
          <w:strike w:val="0"/>
          <w:dstrike w:val="0"/>
          <w:noProof w:val="0"/>
          <w:color w:val="000000" w:themeColor="text1" w:themeTint="FF" w:themeShade="FF"/>
          <w:sz w:val="22"/>
          <w:szCs w:val="22"/>
          <w:u w:val="none"/>
          <w:lang w:val="es-ES"/>
        </w:rPr>
        <w:t>Tiggo</w:t>
      </w:r>
      <w:r w:rsidRPr="51F5C03E" w:rsidR="7577F3BA">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7</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fue </w:t>
      </w:r>
      <w:r w:rsidRPr="51F5C03E" w:rsidR="433F8E91">
        <w:rPr>
          <w:rFonts w:ascii="Arial" w:hAnsi="Arial" w:eastAsia="Arial" w:cs="Arial"/>
          <w:b w:val="0"/>
          <w:bCs w:val="0"/>
          <w:i w:val="0"/>
          <w:iCs w:val="0"/>
          <w:strike w:val="0"/>
          <w:dstrike w:val="0"/>
          <w:noProof w:val="0"/>
          <w:color w:val="000000" w:themeColor="text1" w:themeTint="FF" w:themeShade="FF"/>
          <w:sz w:val="22"/>
          <w:szCs w:val="22"/>
          <w:u w:val="none"/>
          <w:lang w:val="es-ES"/>
        </w:rPr>
        <w:t>número uno</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el segmento de SUV de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economía mediana en el J.D.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Power</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2023 China APEAL (Automotive Performance,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Execution</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and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Layout</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logró una calificación de seguridad ANCAP de cinco estrellas. </w:t>
      </w:r>
    </w:p>
    <w:p w:rsidR="1D1ED89A" w:rsidP="51F5C03E" w:rsidRDefault="1D1ED89A" w14:paraId="4A09F469" w14:textId="26170434">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0A824D6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manera similar, </w:t>
      </w:r>
      <w:r w:rsidRPr="51F5C03E" w:rsidR="62E1B85E">
        <w:rPr>
          <w:rFonts w:ascii="Arial" w:hAnsi="Arial" w:eastAsia="Arial" w:cs="Arial"/>
          <w:b w:val="0"/>
          <w:bCs w:val="0"/>
          <w:i w:val="0"/>
          <w:iCs w:val="0"/>
          <w:strike w:val="0"/>
          <w:dstrike w:val="0"/>
          <w:noProof w:val="0"/>
          <w:color w:val="000000" w:themeColor="text1" w:themeTint="FF" w:themeShade="FF"/>
          <w:sz w:val="22"/>
          <w:szCs w:val="22"/>
          <w:u w:val="none"/>
          <w:lang w:val="es-ES"/>
        </w:rPr>
        <w:t>l</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a fam</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ilia </w:t>
      </w:r>
      <w:r w:rsidRPr="51F5C03E" w:rsidR="7577F3BA">
        <w:rPr>
          <w:rFonts w:ascii="Arial" w:hAnsi="Arial" w:eastAsia="Arial" w:cs="Arial"/>
          <w:b w:val="1"/>
          <w:bCs w:val="1"/>
          <w:i w:val="0"/>
          <w:iCs w:val="0"/>
          <w:strike w:val="0"/>
          <w:dstrike w:val="0"/>
          <w:noProof w:val="0"/>
          <w:color w:val="000000" w:themeColor="text1" w:themeTint="FF" w:themeShade="FF"/>
          <w:sz w:val="22"/>
          <w:szCs w:val="22"/>
          <w:u w:val="none"/>
          <w:lang w:val="es-ES"/>
        </w:rPr>
        <w:t>Tiggo</w:t>
      </w:r>
      <w:r w:rsidRPr="51F5C03E" w:rsidR="7577F3BA">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8</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c</w:t>
      </w:r>
      <w:r w:rsidRPr="51F5C03E" w:rsidR="1A675E10">
        <w:rPr>
          <w:rFonts w:ascii="Arial" w:hAnsi="Arial" w:eastAsia="Arial" w:cs="Arial"/>
          <w:b w:val="0"/>
          <w:bCs w:val="0"/>
          <w:i w:val="0"/>
          <w:iCs w:val="0"/>
          <w:strike w:val="0"/>
          <w:dstrike w:val="0"/>
          <w:noProof w:val="0"/>
          <w:color w:val="000000" w:themeColor="text1" w:themeTint="FF" w:themeShade="FF"/>
          <w:sz w:val="22"/>
          <w:szCs w:val="22"/>
          <w:u w:val="none"/>
          <w:lang w:val="es-ES"/>
        </w:rPr>
        <w:t>on</w:t>
      </w:r>
      <w:r w:rsidRPr="51F5C03E" w:rsidR="5FCA39C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quistado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los corazones de más de 900,000 usuarios globales, con ventas acumuladas que superan las 200,000 unidades solo en 2023, solidificando su posición como el líder mundial en ventas de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SUV</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marca china con motor de combustible.</w:t>
      </w:r>
    </w:p>
    <w:p w:rsidR="1D1ED89A" w:rsidP="51F5C03E" w:rsidRDefault="1D1ED89A" w14:paraId="3CEB4A10" w14:textId="3AD2ABB5">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4FF50AC7">
        <w:rPr>
          <w:rFonts w:ascii="Arial" w:hAnsi="Arial" w:eastAsia="Arial" w:cs="Arial"/>
          <w:b w:val="0"/>
          <w:bCs w:val="0"/>
          <w:i w:val="0"/>
          <w:iCs w:val="0"/>
          <w:strike w:val="0"/>
          <w:dstrike w:val="0"/>
          <w:noProof w:val="0"/>
          <w:color w:val="000000" w:themeColor="text1" w:themeTint="FF" w:themeShade="FF"/>
          <w:sz w:val="22"/>
          <w:szCs w:val="22"/>
          <w:u w:val="none"/>
          <w:lang w:val="es-ES"/>
        </w:rPr>
        <w:t>En gran medida, e</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 éxito de la firma automotriz china se debe a su dedicación a la innovación tecnológica y la mejora continua </w:t>
      </w:r>
      <w:r w:rsidRPr="51F5C03E" w:rsidR="70290C03">
        <w:rPr>
          <w:rFonts w:ascii="Arial" w:hAnsi="Arial" w:eastAsia="Arial" w:cs="Arial"/>
          <w:b w:val="0"/>
          <w:bCs w:val="0"/>
          <w:i w:val="0"/>
          <w:iCs w:val="0"/>
          <w:strike w:val="0"/>
          <w:dstrike w:val="0"/>
          <w:noProof w:val="0"/>
          <w:color w:val="000000" w:themeColor="text1" w:themeTint="FF" w:themeShade="FF"/>
          <w:sz w:val="22"/>
          <w:szCs w:val="22"/>
          <w:u w:val="none"/>
          <w:lang w:val="es-ES"/>
        </w:rPr>
        <w:t>en los estándares de calidad. Hoy, s</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u extenso sistema de I+D abarca automóviles tradicionales, vehículos de nueva energía, vehículos inteligentes conectados y tecnologías de conducción autónoma, fortaleciendo su estrategia global</w:t>
      </w:r>
      <w:r w:rsidRPr="51F5C03E" w:rsidR="35FF620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Todo respaldado por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fuerte presencia internacional con más de diez bases de producción y KD en todo el mundo y ocho centros principales de I+D en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Wuhu</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Shanghái, América del Norte y América del Sur. </w:t>
      </w:r>
    </w:p>
    <w:p w:rsidR="1D1ED89A" w:rsidP="51F5C03E" w:rsidRDefault="1D1ED89A" w14:paraId="3373F9D9" w14:textId="6A6804DA">
      <w:pPr>
        <w:spacing w:before="240" w:beforeAutospacing="off" w:after="240" w:afterAutospacing="off"/>
        <w:jc w:val="both"/>
      </w:pP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lo largo de sus más de dos décadas de expansión global,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cumplido activamente con sus responsabilidades sociales a nivel mundial, contribuyendo con los esfuerzos humanitarios en todo el mundo, incluidos los de alivio del terremoto en Turquía, actividades benéficas para mujeres en Kuwait y apoyo a niños en hogares de bienestar en Sudáfrica, así como un Memorando de Entendimiento con la </w:t>
      </w:r>
      <w:r w:rsidRPr="51F5C03E" w:rsidR="1C3A7032">
        <w:rPr>
          <w:rFonts w:ascii="Arial" w:hAnsi="Arial" w:eastAsia="Arial" w:cs="Arial"/>
          <w:b w:val="0"/>
          <w:bCs w:val="0"/>
          <w:i w:val="0"/>
          <w:iCs w:val="0"/>
          <w:strike w:val="0"/>
          <w:dstrike w:val="0"/>
          <w:noProof w:val="0"/>
          <w:color w:val="000000" w:themeColor="text1" w:themeTint="FF" w:themeShade="FF"/>
          <w:sz w:val="22"/>
          <w:szCs w:val="22"/>
          <w:u w:val="none"/>
          <w:lang w:val="es-ES"/>
        </w:rPr>
        <w:t>Unión Internacional para la Conservación de la Naturaleza</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1D1ED89A" w:rsidP="51F5C03E" w:rsidRDefault="1D1ED89A" w14:paraId="43541AFE" w14:textId="56944ED2">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esta manera, </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51F5C03E" w:rsidR="7577F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continúa firme en su estrategia de globalización de ganar confianza y preferencia del consumidor a nivel mundial a través de un portafolio de calidad superior, tecnologías avanzadas y servicio al cliente excepcional. </w:t>
      </w:r>
    </w:p>
    <w:p w:rsidR="29FC6FBA" w:rsidP="51F5C03E" w:rsidRDefault="29FC6FBA" w14:paraId="199C0E3F" w14:textId="19139827">
      <w:pPr>
        <w:spacing w:after="0" w:line="279"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51F5C03E" w:rsidR="7577F3BA">
        <w:rPr>
          <w:rFonts w:ascii="Arial Nova" w:hAnsi="Arial Nova" w:eastAsia="Arial Nova" w:cs="Arial Nova"/>
          <w:b w:val="1"/>
          <w:bCs w:val="1"/>
          <w:i w:val="0"/>
          <w:iCs w:val="0"/>
          <w:caps w:val="0"/>
          <w:smallCaps w:val="0"/>
          <w:noProof w:val="0"/>
          <w:color w:val="000000" w:themeColor="text1" w:themeTint="FF" w:themeShade="FF"/>
          <w:sz w:val="20"/>
          <w:szCs w:val="20"/>
          <w:lang w:val="es-MX"/>
        </w:rPr>
        <w:t>A</w:t>
      </w:r>
      <w:r w:rsidRPr="51F5C03E" w:rsidR="29FC6FBA">
        <w:rPr>
          <w:rFonts w:ascii="Arial Nova" w:hAnsi="Arial Nova" w:eastAsia="Arial Nova" w:cs="Arial Nova"/>
          <w:b w:val="1"/>
          <w:bCs w:val="1"/>
          <w:i w:val="0"/>
          <w:iCs w:val="0"/>
          <w:caps w:val="0"/>
          <w:smallCaps w:val="0"/>
          <w:noProof w:val="0"/>
          <w:color w:val="000000" w:themeColor="text1" w:themeTint="FF" w:themeShade="FF"/>
          <w:sz w:val="20"/>
          <w:szCs w:val="20"/>
          <w:lang w:val="es-MX"/>
        </w:rPr>
        <w:t>cerca de CHIREY</w:t>
      </w:r>
    </w:p>
    <w:p w:rsidR="1D1ED89A" w:rsidP="1D1ED89A" w:rsidRDefault="1D1ED89A" w14:paraId="0A9FE9C9" w14:textId="7A17A886">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29FC6FBA" w:rsidP="1D1ED89A" w:rsidRDefault="29FC6FBA" w14:paraId="214A527C" w14:textId="11CA124F">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0"/>
          <w:szCs w:val="20"/>
          <w:lang w:val="es-MX"/>
        </w:rPr>
        <w:t>CHIREY es una empresa de alcance global con presencia en México desde 2022. En su primer año de operaciones vendió más de 30,000 unidades en el mercado nacional. Por más de 27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1D1ED89A" w:rsidP="1D1ED89A" w:rsidRDefault="1D1ED89A" w14:paraId="346F55B3" w14:textId="525463E0">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29FC6FBA" w:rsidP="1D1ED89A" w:rsidRDefault="29FC6FBA" w14:paraId="71DF5802" w14:textId="404B9935">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5444e7cbb8ac4206">
        <w:r w:rsidRPr="1D1ED89A" w:rsidR="29FC6FBA">
          <w:rPr>
            <w:rStyle w:val="Hyperlink"/>
            <w:rFonts w:ascii="Aptos" w:hAnsi="Aptos" w:eastAsia="Aptos" w:cs="Aptos"/>
            <w:b w:val="0"/>
            <w:bCs w:val="0"/>
            <w:i w:val="0"/>
            <w:iCs w:val="0"/>
            <w:caps w:val="0"/>
            <w:smallCaps w:val="0"/>
            <w:strike w:val="0"/>
            <w:dstrike w:val="0"/>
            <w:noProof w:val="0"/>
            <w:sz w:val="24"/>
            <w:szCs w:val="24"/>
            <w:lang w:val="es-MX"/>
          </w:rPr>
          <w:t>chirey.mx.</w:t>
        </w:r>
      </w:hyperlink>
    </w:p>
    <w:p w:rsidR="29FC6FBA" w:rsidP="1D1ED89A" w:rsidRDefault="29FC6FBA" w14:paraId="585803FC" w14:textId="770324B8">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29FC6FBA" w:rsidP="1D1ED89A" w:rsidRDefault="29FC6FBA" w14:paraId="2D032A64" w14:textId="2F6EE368">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n-US"/>
        </w:rPr>
        <w:t>Carlos Gutiérrez</w:t>
      </w:r>
    </w:p>
    <w:p w:rsidR="29FC6FBA" w:rsidP="1D1ED89A" w:rsidRDefault="29FC6FBA" w14:paraId="5B3A1C7B" w14:textId="2318C1AB">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29FC6FBA" w:rsidP="1D1ED89A" w:rsidRDefault="29FC6FBA" w14:paraId="33F2E85B" w14:textId="5B90FE20">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29FC6FBA" w:rsidP="1D1ED89A" w:rsidRDefault="29FC6FBA" w14:paraId="089A672E" w14:textId="3060AB5B">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874b0a2e682a4c80">
        <w:r w:rsidRPr="1D1ED89A" w:rsidR="29FC6FBA">
          <w:rPr>
            <w:rStyle w:val="Hyperlink"/>
            <w:rFonts w:ascii="Aptos" w:hAnsi="Aptos" w:eastAsia="Aptos" w:cs="Aptos"/>
            <w:b w:val="0"/>
            <w:bCs w:val="0"/>
            <w:i w:val="0"/>
            <w:iCs w:val="0"/>
            <w:caps w:val="0"/>
            <w:smallCaps w:val="0"/>
            <w:strike w:val="0"/>
            <w:dstrike w:val="0"/>
            <w:noProof w:val="0"/>
            <w:sz w:val="24"/>
            <w:szCs w:val="24"/>
            <w:lang w:val="en-US"/>
          </w:rPr>
          <w:t>carlos.gutierrez@another.co</w:t>
        </w:r>
      </w:hyperlink>
    </w:p>
    <w:p w:rsidR="1D1ED89A" w:rsidP="1D1ED89A" w:rsidRDefault="1D1ED89A" w14:paraId="7B9124EF" w14:textId="4AF833A5">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29FC6FBA" w:rsidP="1D1ED89A" w:rsidRDefault="29FC6FBA" w14:paraId="4BF996BA" w14:textId="4B8F6FB8">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29FC6FBA" w:rsidP="1D1ED89A" w:rsidRDefault="29FC6FBA" w14:paraId="7269B1D7" w14:textId="39A7A170">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29FC6FBA" w:rsidP="1D1ED89A" w:rsidRDefault="29FC6FBA" w14:paraId="7AF05E29" w14:textId="09931F85">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29FC6FBA" w:rsidP="1D1ED89A" w:rsidRDefault="29FC6FBA" w14:paraId="417ACD54" w14:textId="7B3A5F13">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D1ED89A" w:rsidR="29FC6F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dc569480f8014706">
        <w:r w:rsidRPr="1D1ED89A" w:rsidR="29FC6FBA">
          <w:rPr>
            <w:rStyle w:val="Hyperlink"/>
            <w:rFonts w:ascii="Aptos" w:hAnsi="Aptos" w:eastAsia="Aptos" w:cs="Aptos"/>
            <w:b w:val="0"/>
            <w:bCs w:val="0"/>
            <w:i w:val="0"/>
            <w:iCs w:val="0"/>
            <w:caps w:val="0"/>
            <w:smallCaps w:val="0"/>
            <w:strike w:val="0"/>
            <w:dstrike w:val="0"/>
            <w:noProof w:val="0"/>
            <w:sz w:val="24"/>
            <w:szCs w:val="24"/>
            <w:lang w:val="es-MX"/>
          </w:rPr>
          <w:t>paola.ruiz@another.co</w:t>
        </w:r>
      </w:hyperlink>
    </w:p>
    <w:p w:rsidR="1D1ED89A" w:rsidP="1D1ED89A" w:rsidRDefault="1D1ED89A" w14:paraId="7AF10358" w14:textId="7C83A155">
      <w:pPr>
        <w:spacing w:after="0"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p>
    <w:p w:rsidR="1D1ED89A" w:rsidP="1D1ED89A" w:rsidRDefault="1D1ED89A" w14:paraId="4770BDEB" w14:textId="417E3B05">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de28ca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55843"/>
    <w:rsid w:val="01662571"/>
    <w:rsid w:val="020B80DB"/>
    <w:rsid w:val="03380AC1"/>
    <w:rsid w:val="03B8BADD"/>
    <w:rsid w:val="0445E173"/>
    <w:rsid w:val="04D3E335"/>
    <w:rsid w:val="05F3D76D"/>
    <w:rsid w:val="063D4FD4"/>
    <w:rsid w:val="07CF9C16"/>
    <w:rsid w:val="08813969"/>
    <w:rsid w:val="08D7ECB1"/>
    <w:rsid w:val="095D7344"/>
    <w:rsid w:val="0A1C4017"/>
    <w:rsid w:val="0A824D6C"/>
    <w:rsid w:val="0B062C39"/>
    <w:rsid w:val="0D13E76E"/>
    <w:rsid w:val="0D25E217"/>
    <w:rsid w:val="0F033AB6"/>
    <w:rsid w:val="0FB4C8E5"/>
    <w:rsid w:val="101D6046"/>
    <w:rsid w:val="10664598"/>
    <w:rsid w:val="115DEFC9"/>
    <w:rsid w:val="11FED1AA"/>
    <w:rsid w:val="121637CA"/>
    <w:rsid w:val="12E9D112"/>
    <w:rsid w:val="12EF0CCF"/>
    <w:rsid w:val="1316B37D"/>
    <w:rsid w:val="1398BFC4"/>
    <w:rsid w:val="164C33E5"/>
    <w:rsid w:val="16B459E9"/>
    <w:rsid w:val="17F96BFF"/>
    <w:rsid w:val="19A423ED"/>
    <w:rsid w:val="1A08A1CF"/>
    <w:rsid w:val="1A675E10"/>
    <w:rsid w:val="1A6A4B9E"/>
    <w:rsid w:val="1AAA0962"/>
    <w:rsid w:val="1AB098F7"/>
    <w:rsid w:val="1AC8A649"/>
    <w:rsid w:val="1B5174E0"/>
    <w:rsid w:val="1BDC099C"/>
    <w:rsid w:val="1C3A7032"/>
    <w:rsid w:val="1C64C4D3"/>
    <w:rsid w:val="1CFA4F6A"/>
    <w:rsid w:val="1D1ED89A"/>
    <w:rsid w:val="1E4095E1"/>
    <w:rsid w:val="1E8C7A37"/>
    <w:rsid w:val="1F020AB1"/>
    <w:rsid w:val="232A8776"/>
    <w:rsid w:val="235E4F62"/>
    <w:rsid w:val="23E763BF"/>
    <w:rsid w:val="2415D397"/>
    <w:rsid w:val="248426E3"/>
    <w:rsid w:val="25838318"/>
    <w:rsid w:val="2647377E"/>
    <w:rsid w:val="266E8F2B"/>
    <w:rsid w:val="281EB358"/>
    <w:rsid w:val="28354B82"/>
    <w:rsid w:val="28BF4C27"/>
    <w:rsid w:val="2918B4D7"/>
    <w:rsid w:val="29FC6FBA"/>
    <w:rsid w:val="2BAC06C9"/>
    <w:rsid w:val="2DC76BE4"/>
    <w:rsid w:val="2E48943B"/>
    <w:rsid w:val="2E5BE97E"/>
    <w:rsid w:val="2E8BF0EF"/>
    <w:rsid w:val="2E9C4FA5"/>
    <w:rsid w:val="3070E585"/>
    <w:rsid w:val="30D27A7A"/>
    <w:rsid w:val="30FB6631"/>
    <w:rsid w:val="32ED6D6B"/>
    <w:rsid w:val="34C7291D"/>
    <w:rsid w:val="3540557F"/>
    <w:rsid w:val="35FF6206"/>
    <w:rsid w:val="36064B8B"/>
    <w:rsid w:val="3678CC8D"/>
    <w:rsid w:val="3A3D4A5A"/>
    <w:rsid w:val="3B20BF45"/>
    <w:rsid w:val="3CE16860"/>
    <w:rsid w:val="3D526D79"/>
    <w:rsid w:val="3D87F10B"/>
    <w:rsid w:val="3EA47A11"/>
    <w:rsid w:val="400C4B33"/>
    <w:rsid w:val="40524198"/>
    <w:rsid w:val="40BB16D0"/>
    <w:rsid w:val="40BC7040"/>
    <w:rsid w:val="410014D5"/>
    <w:rsid w:val="433F8E91"/>
    <w:rsid w:val="43AB1FF7"/>
    <w:rsid w:val="466FE9D8"/>
    <w:rsid w:val="46B7160F"/>
    <w:rsid w:val="4802FDB7"/>
    <w:rsid w:val="48EAF5D7"/>
    <w:rsid w:val="49441125"/>
    <w:rsid w:val="4A00DE40"/>
    <w:rsid w:val="4A0EC21F"/>
    <w:rsid w:val="4A289DA3"/>
    <w:rsid w:val="4A9EA10F"/>
    <w:rsid w:val="4B2165A9"/>
    <w:rsid w:val="4BF812ED"/>
    <w:rsid w:val="4D7117BC"/>
    <w:rsid w:val="4DA54226"/>
    <w:rsid w:val="4E3E3A81"/>
    <w:rsid w:val="4FD95615"/>
    <w:rsid w:val="4FF50AC7"/>
    <w:rsid w:val="50500D50"/>
    <w:rsid w:val="51541244"/>
    <w:rsid w:val="51AEED7E"/>
    <w:rsid w:val="51F5C03E"/>
    <w:rsid w:val="532F6501"/>
    <w:rsid w:val="54153931"/>
    <w:rsid w:val="56021B2A"/>
    <w:rsid w:val="565C0B77"/>
    <w:rsid w:val="56CAE3F9"/>
    <w:rsid w:val="56DF99B7"/>
    <w:rsid w:val="58073FF2"/>
    <w:rsid w:val="58652BA5"/>
    <w:rsid w:val="58EF963B"/>
    <w:rsid w:val="5A11F42E"/>
    <w:rsid w:val="5A977724"/>
    <w:rsid w:val="5C9CBF44"/>
    <w:rsid w:val="5D34B012"/>
    <w:rsid w:val="5D93BA41"/>
    <w:rsid w:val="5E5E40D1"/>
    <w:rsid w:val="5FCA39C0"/>
    <w:rsid w:val="5FEA9AFA"/>
    <w:rsid w:val="607CB5D2"/>
    <w:rsid w:val="60BF37FD"/>
    <w:rsid w:val="60F49D53"/>
    <w:rsid w:val="61E5583A"/>
    <w:rsid w:val="62E1B85E"/>
    <w:rsid w:val="636F38C1"/>
    <w:rsid w:val="63DC345F"/>
    <w:rsid w:val="63ED5980"/>
    <w:rsid w:val="6415192B"/>
    <w:rsid w:val="64AA8E98"/>
    <w:rsid w:val="657BEDB1"/>
    <w:rsid w:val="65961052"/>
    <w:rsid w:val="66014309"/>
    <w:rsid w:val="662E38AF"/>
    <w:rsid w:val="66320E68"/>
    <w:rsid w:val="66C2F514"/>
    <w:rsid w:val="66DAFFBC"/>
    <w:rsid w:val="674312E0"/>
    <w:rsid w:val="6811CB45"/>
    <w:rsid w:val="69443F13"/>
    <w:rsid w:val="6ADBD3D8"/>
    <w:rsid w:val="6C544E8D"/>
    <w:rsid w:val="6C821593"/>
    <w:rsid w:val="6D4DA07D"/>
    <w:rsid w:val="6E119218"/>
    <w:rsid w:val="6ED64A4D"/>
    <w:rsid w:val="6F03ED91"/>
    <w:rsid w:val="6F0664FA"/>
    <w:rsid w:val="6F32D59D"/>
    <w:rsid w:val="6FACFABE"/>
    <w:rsid w:val="6FB90F6F"/>
    <w:rsid w:val="700E9B26"/>
    <w:rsid w:val="7013DA55"/>
    <w:rsid w:val="7022C71B"/>
    <w:rsid w:val="70290C03"/>
    <w:rsid w:val="70294BD9"/>
    <w:rsid w:val="73EFAAD9"/>
    <w:rsid w:val="7550CE0F"/>
    <w:rsid w:val="7577F3BA"/>
    <w:rsid w:val="75947368"/>
    <w:rsid w:val="79061521"/>
    <w:rsid w:val="792B0F29"/>
    <w:rsid w:val="7A1079BE"/>
    <w:rsid w:val="7B2ABA63"/>
    <w:rsid w:val="7C72EFB3"/>
    <w:rsid w:val="7CC2BA5C"/>
    <w:rsid w:val="7DC8A776"/>
    <w:rsid w:val="7E85F67A"/>
    <w:rsid w:val="7FE55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5843"/>
  <w15:chartTrackingRefBased/>
  <w15:docId w15:val="{CB13C92C-6526-4177-830A-E98F049ADA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hirey.mx/" TargetMode="External" Id="R5444e7cbb8ac4206" /><Relationship Type="http://schemas.openxmlformats.org/officeDocument/2006/relationships/hyperlink" Target="mailto:carlos.gutierrez@another.co" TargetMode="External" Id="R874b0a2e682a4c80" /><Relationship Type="http://schemas.openxmlformats.org/officeDocument/2006/relationships/hyperlink" Target="mailto:paola.ruiz@another.co" TargetMode="External" Id="Rdc569480f8014706" /><Relationship Type="http://schemas.openxmlformats.org/officeDocument/2006/relationships/numbering" Target="numbering.xml" Id="Rd3a4e40acb4e476d" /><Relationship Type="http://schemas.openxmlformats.org/officeDocument/2006/relationships/hyperlink" Target="https://www.chirey.mx/" TargetMode="External" Id="R14629f6ccdb848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E2E64-EA19-47AF-A296-F9DBD061DCE3}"/>
</file>

<file path=customXml/itemProps2.xml><?xml version="1.0" encoding="utf-8"?>
<ds:datastoreItem xmlns:ds="http://schemas.openxmlformats.org/officeDocument/2006/customXml" ds:itemID="{8E82E96A-0585-407C-A82A-4E40AD2AA004}"/>
</file>

<file path=customXml/itemProps3.xml><?xml version="1.0" encoding="utf-8"?>
<ds:datastoreItem xmlns:ds="http://schemas.openxmlformats.org/officeDocument/2006/customXml" ds:itemID="{591D7392-0565-40F6-AA6B-B924F66477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2024-06-27T16:53:34.0000000Z</dcterms:created>
  <dcterms:modified xsi:type="dcterms:W3CDTF">2024-06-27T21:47:02.2717134Z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